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BB65" w14:textId="77777777" w:rsidR="00E778BD" w:rsidRDefault="00531A14">
      <w:pPr>
        <w:pBdr>
          <w:top w:val="nil"/>
          <w:left w:val="nil"/>
          <w:bottom w:val="single" w:sz="18" w:space="1" w:color="632423"/>
          <w:right w:val="nil"/>
          <w:between w:val="nil"/>
        </w:pBdr>
        <w:spacing w:after="300" w:line="240" w:lineRule="auto"/>
        <w:jc w:val="center"/>
        <w:rPr>
          <w:rFonts w:ascii="Trebuchet MS" w:eastAsia="Trebuchet MS" w:hAnsi="Trebuchet MS" w:cs="Trebuchet MS"/>
          <w:b/>
          <w:color w:val="632423"/>
          <w:sz w:val="40"/>
          <w:szCs w:val="40"/>
        </w:rPr>
      </w:pPr>
      <w:r>
        <w:rPr>
          <w:rFonts w:ascii="Trebuchet MS" w:eastAsia="Trebuchet MS" w:hAnsi="Trebuchet MS" w:cs="Trebuchet MS"/>
          <w:b/>
          <w:color w:val="632423"/>
          <w:sz w:val="40"/>
          <w:szCs w:val="40"/>
        </w:rPr>
        <w:t>CALL FOR NOMINATIONS SOUGHT FOR AWARDS</w:t>
      </w:r>
    </w:p>
    <w:p w14:paraId="36371299" w14:textId="71174376" w:rsidR="00E778BD" w:rsidRDefault="00531A14">
      <w:pPr>
        <w:pBdr>
          <w:top w:val="nil"/>
          <w:left w:val="nil"/>
          <w:bottom w:val="nil"/>
          <w:right w:val="nil"/>
          <w:between w:val="nil"/>
        </w:pBdr>
        <w:spacing w:after="0"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Please consider nominating a fellow member, colleague, </w:t>
      </w:r>
      <w:proofErr w:type="gramStart"/>
      <w:r>
        <w:rPr>
          <w:rFonts w:ascii="Calibri" w:eastAsia="Calibri" w:hAnsi="Calibri" w:cs="Calibri"/>
          <w:color w:val="000000"/>
          <w:sz w:val="22"/>
          <w:szCs w:val="22"/>
        </w:rPr>
        <w:t>customer</w:t>
      </w:r>
      <w:proofErr w:type="gramEnd"/>
      <w:r>
        <w:rPr>
          <w:rFonts w:ascii="Calibri" w:eastAsia="Calibri" w:hAnsi="Calibri" w:cs="Calibri"/>
          <w:color w:val="000000"/>
          <w:sz w:val="22"/>
          <w:szCs w:val="22"/>
        </w:rPr>
        <w:t xml:space="preserve"> or company for one or more of the St. Louis Chapter’s Awards this year.  The awards will be presented at the annual Engineers Week Awards Banquet.  Deadline for submitting nominees and applications is the </w:t>
      </w:r>
      <w:r>
        <w:rPr>
          <w:rFonts w:ascii="Calibri" w:eastAsia="Calibri" w:hAnsi="Calibri" w:cs="Calibri"/>
          <w:b/>
          <w:sz w:val="22"/>
          <w:szCs w:val="22"/>
        </w:rPr>
        <w:t>December 1</w:t>
      </w:r>
      <w:r w:rsidR="00561049">
        <w:rPr>
          <w:rFonts w:ascii="Calibri" w:eastAsia="Calibri" w:hAnsi="Calibri" w:cs="Calibri"/>
          <w:b/>
          <w:sz w:val="22"/>
          <w:szCs w:val="22"/>
        </w:rPr>
        <w:t>7</w:t>
      </w:r>
      <w:r>
        <w:rPr>
          <w:rFonts w:ascii="Calibri" w:eastAsia="Calibri" w:hAnsi="Calibri" w:cs="Calibri"/>
          <w:b/>
          <w:sz w:val="22"/>
          <w:szCs w:val="22"/>
        </w:rPr>
        <w:t>th, 20</w:t>
      </w:r>
      <w:r w:rsidR="00CF47E3">
        <w:rPr>
          <w:rFonts w:ascii="Calibri" w:eastAsia="Calibri" w:hAnsi="Calibri" w:cs="Calibri"/>
          <w:b/>
          <w:sz w:val="22"/>
          <w:szCs w:val="22"/>
        </w:rPr>
        <w:t>2</w:t>
      </w:r>
      <w:r w:rsidR="00561049">
        <w:rPr>
          <w:rFonts w:ascii="Calibri" w:eastAsia="Calibri" w:hAnsi="Calibri" w:cs="Calibri"/>
          <w:b/>
          <w:sz w:val="22"/>
          <w:szCs w:val="22"/>
        </w:rPr>
        <w:t>1</w:t>
      </w:r>
      <w:r>
        <w:rPr>
          <w:rFonts w:ascii="Calibri" w:eastAsia="Calibri" w:hAnsi="Calibri" w:cs="Calibri"/>
          <w:b/>
          <w:sz w:val="22"/>
          <w:szCs w:val="22"/>
        </w:rPr>
        <w:t>.</w:t>
      </w:r>
      <w:r>
        <w:rPr>
          <w:rFonts w:ascii="Calibri" w:eastAsia="Calibri" w:hAnsi="Calibri" w:cs="Calibri"/>
          <w:color w:val="000000"/>
          <w:sz w:val="22"/>
          <w:szCs w:val="22"/>
        </w:rPr>
        <w:t xml:space="preserve">  Nominations should include resume, biographical sketch or completed application form.</w:t>
      </w:r>
    </w:p>
    <w:p w14:paraId="79D13B17" w14:textId="77777777" w:rsidR="00E778BD" w:rsidRDefault="00531A14" w:rsidP="005B0EE9">
      <w:pPr>
        <w:pBdr>
          <w:top w:val="nil"/>
          <w:left w:val="nil"/>
          <w:bottom w:val="nil"/>
          <w:right w:val="nil"/>
          <w:between w:val="nil"/>
        </w:pBdr>
        <w:spacing w:line="300" w:lineRule="auto"/>
        <w:rPr>
          <w:rFonts w:ascii="Calibri" w:eastAsia="Calibri" w:hAnsi="Calibri" w:cs="Calibri"/>
          <w:color w:val="000000"/>
          <w:sz w:val="22"/>
          <w:szCs w:val="22"/>
        </w:rPr>
      </w:pPr>
      <w:r>
        <w:rPr>
          <w:rFonts w:ascii="Calibri" w:eastAsia="Calibri" w:hAnsi="Calibri" w:cs="Calibri"/>
          <w:color w:val="000000"/>
          <w:sz w:val="22"/>
          <w:szCs w:val="22"/>
        </w:rPr>
        <w:t xml:space="preserve">A full list of past award winners, award descriptions and specific qualifications is available on the website </w:t>
      </w:r>
      <w:hyperlink r:id="rId8">
        <w:r>
          <w:rPr>
            <w:rFonts w:ascii="Calibri" w:eastAsia="Calibri" w:hAnsi="Calibri" w:cs="Calibri"/>
            <w:color w:val="0000FF"/>
            <w:sz w:val="22"/>
            <w:szCs w:val="22"/>
            <w:u w:val="single"/>
          </w:rPr>
          <w:t>http://mspe.org/content.php?page=St._Louis_Chapter</w:t>
        </w:r>
      </w:hyperlink>
      <w:r>
        <w:rPr>
          <w:rFonts w:ascii="Calibri" w:eastAsia="Calibri" w:hAnsi="Calibri" w:cs="Calibri"/>
          <w:color w:val="000000"/>
          <w:sz w:val="22"/>
          <w:szCs w:val="22"/>
        </w:rPr>
        <w:t xml:space="preserve"> under </w:t>
      </w:r>
      <w:r>
        <w:rPr>
          <w:rFonts w:ascii="Calibri" w:eastAsia="Calibri" w:hAnsi="Calibri" w:cs="Calibri"/>
          <w:i/>
          <w:color w:val="000000"/>
          <w:sz w:val="22"/>
          <w:szCs w:val="22"/>
        </w:rPr>
        <w:t>St. Louis Chapter History.</w:t>
      </w:r>
    </w:p>
    <w:p w14:paraId="140ED65D" w14:textId="49CDDBC8" w:rsidR="00E778BD" w:rsidRPr="005B0EE9" w:rsidRDefault="00531A14" w:rsidP="005B0EE9">
      <w:pPr>
        <w:pBdr>
          <w:top w:val="nil"/>
          <w:left w:val="nil"/>
          <w:bottom w:val="nil"/>
          <w:right w:val="nil"/>
          <w:between w:val="nil"/>
        </w:pBdr>
        <w:spacing w:after="0"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Questions or nominations should be directed to Awards Committee Chair, </w:t>
      </w:r>
      <w:proofErr w:type="spellStart"/>
      <w:r w:rsidR="00D22CF1">
        <w:rPr>
          <w:rFonts w:ascii="Calibri" w:eastAsia="Calibri" w:hAnsi="Calibri" w:cs="Calibri"/>
          <w:color w:val="000000"/>
          <w:sz w:val="22"/>
          <w:szCs w:val="22"/>
        </w:rPr>
        <w:t>Bently</w:t>
      </w:r>
      <w:proofErr w:type="spellEnd"/>
      <w:r w:rsidR="00D22CF1">
        <w:rPr>
          <w:rFonts w:ascii="Calibri" w:eastAsia="Calibri" w:hAnsi="Calibri" w:cs="Calibri"/>
          <w:color w:val="000000"/>
          <w:sz w:val="22"/>
          <w:szCs w:val="22"/>
        </w:rPr>
        <w:t xml:space="preserve"> Green</w:t>
      </w:r>
      <w:r>
        <w:rPr>
          <w:rFonts w:ascii="Calibri" w:eastAsia="Calibri" w:hAnsi="Calibri" w:cs="Calibri"/>
          <w:color w:val="000000"/>
          <w:sz w:val="22"/>
          <w:szCs w:val="22"/>
        </w:rPr>
        <w:t>,</w:t>
      </w:r>
      <w:r w:rsidR="00D22CF1">
        <w:rPr>
          <w:rFonts w:ascii="Calibri" w:eastAsia="Calibri" w:hAnsi="Calibri" w:cs="Calibri"/>
          <w:color w:val="000000"/>
          <w:sz w:val="22"/>
          <w:szCs w:val="22"/>
        </w:rPr>
        <w:t xml:space="preserve"> at </w:t>
      </w:r>
      <w:hyperlink r:id="rId9" w:history="1">
        <w:r w:rsidR="00D22CF1" w:rsidRPr="000836D8">
          <w:rPr>
            <w:rStyle w:val="Hyperlink"/>
            <w:rFonts w:ascii="Calibri" w:eastAsia="Calibri" w:hAnsi="Calibri" w:cs="Calibri"/>
            <w:sz w:val="22"/>
            <w:szCs w:val="22"/>
          </w:rPr>
          <w:t>greenb2@bv.com</w:t>
        </w:r>
      </w:hyperlink>
      <w:r w:rsidR="00D22CF1">
        <w:rPr>
          <w:rFonts w:ascii="Calibri" w:eastAsia="Calibri" w:hAnsi="Calibri" w:cs="Calibri"/>
          <w:color w:val="000000"/>
          <w:sz w:val="22"/>
          <w:szCs w:val="22"/>
        </w:rPr>
        <w:t xml:space="preserve">  </w:t>
      </w:r>
    </w:p>
    <w:tbl>
      <w:tblPr>
        <w:tblStyle w:val="a"/>
        <w:tblW w:w="6926"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6926"/>
      </w:tblGrid>
      <w:tr w:rsidR="00E778BD" w14:paraId="0BD38182" w14:textId="77777777">
        <w:tc>
          <w:tcPr>
            <w:tcW w:w="6926" w:type="dxa"/>
            <w:vAlign w:val="center"/>
          </w:tcPr>
          <w:p w14:paraId="184267C9"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Engineer of the Year</w:t>
            </w:r>
          </w:p>
          <w:p w14:paraId="469444C3" w14:textId="77777777" w:rsidR="00E778BD" w:rsidRPr="005B0EE9" w:rsidRDefault="00531A14">
            <w:pPr>
              <w:widowControl w:val="0"/>
              <w:numPr>
                <w:ilvl w:val="0"/>
                <w:numId w:val="2"/>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411ED644" w14:textId="77777777" w:rsidR="00E778BD" w:rsidRPr="005B0EE9" w:rsidRDefault="00531A14">
            <w:pPr>
              <w:widowControl w:val="0"/>
              <w:numPr>
                <w:ilvl w:val="0"/>
                <w:numId w:val="2"/>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p w14:paraId="570EB7FB"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Young Engineer of the Year</w:t>
            </w:r>
          </w:p>
          <w:p w14:paraId="6AB50ABF" w14:textId="430FB9D0" w:rsidR="00E778BD" w:rsidRPr="005B0EE9" w:rsidRDefault="00531A14">
            <w:pPr>
              <w:widowControl w:val="0"/>
              <w:numPr>
                <w:ilvl w:val="0"/>
                <w:numId w:val="1"/>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Age 34 or younger as of January 1, 20</w:t>
            </w:r>
            <w:r w:rsidR="00CF47E3">
              <w:rPr>
                <w:rFonts w:ascii="Calibri" w:eastAsia="Calibri" w:hAnsi="Calibri" w:cs="Calibri"/>
                <w:color w:val="000000"/>
                <w:sz w:val="20"/>
                <w:szCs w:val="20"/>
              </w:rPr>
              <w:t>20</w:t>
            </w:r>
          </w:p>
          <w:p w14:paraId="3E6A372D" w14:textId="77777777" w:rsidR="00E778BD" w:rsidRPr="005B0EE9" w:rsidRDefault="00531A14">
            <w:pPr>
              <w:widowControl w:val="0"/>
              <w:numPr>
                <w:ilvl w:val="0"/>
                <w:numId w:val="1"/>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 and NSPE </w:t>
            </w:r>
            <w:r w:rsidRPr="005B0EE9">
              <w:rPr>
                <w:rFonts w:ascii="Calibri" w:eastAsia="Calibri" w:hAnsi="Calibri" w:cs="Calibri"/>
                <w:i/>
                <w:color w:val="000000"/>
                <w:sz w:val="20"/>
                <w:szCs w:val="20"/>
              </w:rPr>
              <w:t>is</w:t>
            </w:r>
            <w:r w:rsidRPr="005B0EE9">
              <w:rPr>
                <w:rFonts w:ascii="Calibri" w:eastAsia="Calibri" w:hAnsi="Calibri" w:cs="Calibri"/>
                <w:color w:val="000000"/>
                <w:sz w:val="20"/>
                <w:szCs w:val="20"/>
              </w:rPr>
              <w:t xml:space="preserve"> required</w:t>
            </w:r>
          </w:p>
        </w:tc>
      </w:tr>
      <w:tr w:rsidR="00E778BD" w14:paraId="045C543B" w14:textId="77777777">
        <w:tc>
          <w:tcPr>
            <w:tcW w:w="6926" w:type="dxa"/>
            <w:vAlign w:val="center"/>
          </w:tcPr>
          <w:p w14:paraId="4C1C08A1"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Outstanding PE In Government</w:t>
            </w:r>
          </w:p>
          <w:p w14:paraId="6A83EF5D"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6282ABAF"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p w14:paraId="4A013DCD"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Outstanding PE Private Practice</w:t>
            </w:r>
          </w:p>
          <w:p w14:paraId="2CACCA86"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7BE2437A"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p w14:paraId="3243A67E"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Outstanding PE in Construction</w:t>
            </w:r>
          </w:p>
          <w:p w14:paraId="6856FD52"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6C4132EA"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p w14:paraId="1C4B2C14"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bookmarkStart w:id="0" w:name="_gjdgxs" w:colFirst="0" w:colLast="0"/>
            <w:bookmarkEnd w:id="0"/>
            <w:r w:rsidRPr="005B0EE9">
              <w:rPr>
                <w:b/>
                <w:color w:val="000000"/>
                <w:sz w:val="20"/>
                <w:szCs w:val="20"/>
              </w:rPr>
              <w:t>Outstanding PE in Industry</w:t>
            </w:r>
          </w:p>
          <w:p w14:paraId="0AE6B27E"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4F5A3A3A"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p w14:paraId="5378B496"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Outstanding Professional Engineer in Education</w:t>
            </w:r>
          </w:p>
          <w:p w14:paraId="58B4BF73"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PE in Missouri</w:t>
            </w:r>
          </w:p>
          <w:p w14:paraId="29217A44" w14:textId="77777777" w:rsidR="00E778BD" w:rsidRPr="005B0EE9" w:rsidRDefault="00531A14">
            <w:pPr>
              <w:widowControl w:val="0"/>
              <w:numPr>
                <w:ilvl w:val="0"/>
                <w:numId w:val="3"/>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 xml:space="preserve">Membership in MSPE/NSPE </w:t>
            </w:r>
            <w:r w:rsidRPr="005B0EE9">
              <w:rPr>
                <w:rFonts w:ascii="Calibri" w:eastAsia="Calibri" w:hAnsi="Calibri" w:cs="Calibri"/>
                <w:i/>
                <w:color w:val="000000"/>
                <w:sz w:val="20"/>
                <w:szCs w:val="20"/>
              </w:rPr>
              <w:t>is not</w:t>
            </w:r>
            <w:r w:rsidRPr="005B0EE9">
              <w:rPr>
                <w:rFonts w:ascii="Calibri" w:eastAsia="Calibri" w:hAnsi="Calibri" w:cs="Calibri"/>
                <w:color w:val="000000"/>
                <w:sz w:val="20"/>
                <w:szCs w:val="20"/>
              </w:rPr>
              <w:t xml:space="preserve"> required</w:t>
            </w:r>
          </w:p>
        </w:tc>
      </w:tr>
      <w:tr w:rsidR="00E778BD" w14:paraId="07F6B314" w14:textId="77777777">
        <w:tc>
          <w:tcPr>
            <w:tcW w:w="6926" w:type="dxa"/>
            <w:vAlign w:val="center"/>
          </w:tcPr>
          <w:p w14:paraId="70C1DBCE"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Qualifications-Based Selection (QBS)</w:t>
            </w:r>
          </w:p>
          <w:p w14:paraId="581A6738" w14:textId="77777777" w:rsidR="00E778BD" w:rsidRPr="005B0EE9" w:rsidRDefault="00531A14">
            <w:pPr>
              <w:widowControl w:val="0"/>
              <w:numPr>
                <w:ilvl w:val="0"/>
                <w:numId w:val="1"/>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Company award</w:t>
            </w:r>
          </w:p>
        </w:tc>
      </w:tr>
      <w:tr w:rsidR="00E778BD" w14:paraId="0B419C49" w14:textId="77777777">
        <w:tc>
          <w:tcPr>
            <w:tcW w:w="6926" w:type="dxa"/>
            <w:vAlign w:val="center"/>
          </w:tcPr>
          <w:p w14:paraId="1E40B0AD" w14:textId="77777777" w:rsidR="00E778BD" w:rsidRPr="005B0EE9" w:rsidRDefault="00531A14">
            <w:pPr>
              <w:widowControl w:val="0"/>
              <w:pBdr>
                <w:top w:val="nil"/>
                <w:left w:val="nil"/>
                <w:bottom w:val="nil"/>
                <w:right w:val="nil"/>
                <w:between w:val="nil"/>
              </w:pBdr>
              <w:spacing w:before="60" w:after="60" w:line="252" w:lineRule="auto"/>
              <w:rPr>
                <w:b/>
                <w:color w:val="000000"/>
                <w:sz w:val="20"/>
                <w:szCs w:val="20"/>
              </w:rPr>
            </w:pPr>
            <w:r w:rsidRPr="005B0EE9">
              <w:rPr>
                <w:b/>
                <w:color w:val="000000"/>
                <w:sz w:val="20"/>
                <w:szCs w:val="20"/>
              </w:rPr>
              <w:t>Private Practice Professional Development (PPPD)</w:t>
            </w:r>
          </w:p>
          <w:p w14:paraId="32C6AF58" w14:textId="77777777" w:rsidR="00E778BD" w:rsidRPr="005B0EE9" w:rsidRDefault="00531A14">
            <w:pPr>
              <w:widowControl w:val="0"/>
              <w:numPr>
                <w:ilvl w:val="0"/>
                <w:numId w:val="1"/>
              </w:numPr>
              <w:pBdr>
                <w:top w:val="nil"/>
                <w:left w:val="nil"/>
                <w:bottom w:val="nil"/>
                <w:right w:val="nil"/>
                <w:between w:val="nil"/>
              </w:pBdr>
              <w:spacing w:before="60" w:after="60" w:line="252" w:lineRule="auto"/>
              <w:rPr>
                <w:color w:val="000000"/>
                <w:sz w:val="20"/>
                <w:szCs w:val="20"/>
              </w:rPr>
            </w:pPr>
            <w:r w:rsidRPr="005B0EE9">
              <w:rPr>
                <w:rFonts w:ascii="Calibri" w:eastAsia="Calibri" w:hAnsi="Calibri" w:cs="Calibri"/>
                <w:color w:val="000000"/>
                <w:sz w:val="20"/>
                <w:szCs w:val="20"/>
              </w:rPr>
              <w:t>Company award</w:t>
            </w:r>
          </w:p>
        </w:tc>
      </w:tr>
    </w:tbl>
    <w:p w14:paraId="6F1563C6" w14:textId="77777777" w:rsidR="00E778BD" w:rsidRDefault="00E778BD">
      <w:pPr>
        <w:pBdr>
          <w:top w:val="nil"/>
          <w:left w:val="nil"/>
          <w:bottom w:val="nil"/>
          <w:right w:val="nil"/>
          <w:between w:val="nil"/>
        </w:pBdr>
        <w:spacing w:after="0" w:line="360" w:lineRule="auto"/>
        <w:rPr>
          <w:rFonts w:ascii="Trebuchet MS" w:eastAsia="Trebuchet MS" w:hAnsi="Trebuchet MS" w:cs="Trebuchet MS"/>
          <w:color w:val="000000"/>
          <w:sz w:val="22"/>
          <w:szCs w:val="22"/>
        </w:rPr>
      </w:pPr>
    </w:p>
    <w:sectPr w:rsidR="00E778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5C3F"/>
    <w:multiLevelType w:val="multilevel"/>
    <w:tmpl w:val="703648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BC72F68"/>
    <w:multiLevelType w:val="multilevel"/>
    <w:tmpl w:val="B4F83B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FCA02D3"/>
    <w:multiLevelType w:val="multilevel"/>
    <w:tmpl w:val="F5BA98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TAFYWMTE2NTJR2l4NTi4sz8PJACw1oA6mR+qywAAAA="/>
  </w:docVars>
  <w:rsids>
    <w:rsidRoot w:val="00E778BD"/>
    <w:rsid w:val="000235D5"/>
    <w:rsid w:val="00531A14"/>
    <w:rsid w:val="00561049"/>
    <w:rsid w:val="005B0EE9"/>
    <w:rsid w:val="0062497E"/>
    <w:rsid w:val="0063478C"/>
    <w:rsid w:val="007A1069"/>
    <w:rsid w:val="0084489D"/>
    <w:rsid w:val="00CF47E3"/>
    <w:rsid w:val="00D22CF1"/>
    <w:rsid w:val="00E7718C"/>
    <w:rsid w:val="00E778BD"/>
    <w:rsid w:val="00FD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D260"/>
  <w15:docId w15:val="{94E61B47-2C83-4687-93A5-0F9E9091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rebuchet MS" w:eastAsia="Trebuchet MS" w:hAnsi="Trebuchet MS" w:cs="Trebuchet MS"/>
      <w:b/>
      <w:color w:val="943734"/>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18" w:space="1" w:color="632423"/>
      </w:pBdr>
      <w:spacing w:after="300" w:line="240" w:lineRule="auto"/>
      <w:contextualSpacing/>
      <w:jc w:val="center"/>
    </w:pPr>
    <w:rPr>
      <w:rFonts w:ascii="Trebuchet MS" w:eastAsia="Trebuchet MS" w:hAnsi="Trebuchet MS" w:cs="Trebuchet MS"/>
      <w:color w:val="632423"/>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22CF1"/>
    <w:rPr>
      <w:color w:val="0000FF" w:themeColor="hyperlink"/>
      <w:u w:val="single"/>
    </w:rPr>
  </w:style>
  <w:style w:type="character" w:styleId="UnresolvedMention">
    <w:name w:val="Unresolved Mention"/>
    <w:basedOn w:val="DefaultParagraphFont"/>
    <w:uiPriority w:val="99"/>
    <w:semiHidden/>
    <w:unhideWhenUsed/>
    <w:rsid w:val="00D2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spe.org/content.php?page=St._Louis_Chap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eenb2@b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6F9A966FD7449BE2580E948234BD0" ma:contentTypeVersion="13" ma:contentTypeDescription="Create a new document." ma:contentTypeScope="" ma:versionID="958c5267c66161976f35225b07944c86">
  <xsd:schema xmlns:xsd="http://www.w3.org/2001/XMLSchema" xmlns:xs="http://www.w3.org/2001/XMLSchema" xmlns:p="http://schemas.microsoft.com/office/2006/metadata/properties" xmlns:ns3="1a581c04-5150-443d-879b-16aaaa030a36" xmlns:ns4="98147df9-6c91-4be8-abd6-20ddb4d9ba89" targetNamespace="http://schemas.microsoft.com/office/2006/metadata/properties" ma:root="true" ma:fieldsID="63defe23503aae8168b377ed36c6183d" ns3:_="" ns4:_="">
    <xsd:import namespace="1a581c04-5150-443d-879b-16aaaa030a36"/>
    <xsd:import namespace="98147df9-6c91-4be8-abd6-20ddb4d9b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1c04-5150-443d-879b-16aaaa030a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7df9-6c91-4be8-abd6-20ddb4d9ba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A615B-D6BC-4EDD-998A-B72E953E85EB}">
  <ds:schemaRefs>
    <ds:schemaRef ds:uri="http://schemas.microsoft.com/sharepoint/v3/contenttype/forms"/>
  </ds:schemaRefs>
</ds:datastoreItem>
</file>

<file path=customXml/itemProps2.xml><?xml version="1.0" encoding="utf-8"?>
<ds:datastoreItem xmlns:ds="http://schemas.openxmlformats.org/officeDocument/2006/customXml" ds:itemID="{AD8FA478-83E8-4195-AC06-741B34254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CCBB9-F656-4BDD-BC51-58944280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1c04-5150-443d-879b-16aaaa030a36"/>
    <ds:schemaRef ds:uri="98147df9-6c91-4be8-abd6-20ddb4d9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Rademacher, Mike</dc:creator>
  <cp:lastModifiedBy>brenna</cp:lastModifiedBy>
  <cp:revision>2</cp:revision>
  <dcterms:created xsi:type="dcterms:W3CDTF">2021-11-10T17:58:00Z</dcterms:created>
  <dcterms:modified xsi:type="dcterms:W3CDTF">2021-11-10T17:58:00Z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0x010100E2D6F9A966FD7449BE2580E948234BD0</vt:lpwstr>
  </property>
</Properties>
</file>